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6300E" w14:textId="4747E44A" w:rsidR="00747A43" w:rsidRDefault="002F3F01" w:rsidP="00747A43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eastAsia="ja-JP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59BB79DE" wp14:editId="2C0DC7CC">
            <wp:simplePos x="0" y="0"/>
            <wp:positionH relativeFrom="page">
              <wp:posOffset>5000625</wp:posOffset>
            </wp:positionH>
            <wp:positionV relativeFrom="page">
              <wp:posOffset>457200</wp:posOffset>
            </wp:positionV>
            <wp:extent cx="2287270" cy="571500"/>
            <wp:effectExtent l="0" t="0" r="0" b="12700"/>
            <wp:wrapNone/>
            <wp:docPr id="14" name="Picture 14" descr="Implementation:Clients:Pitney Bowes:Visual Identity:Logo:Logo :Raster:RGB:Positive:int_pb_hor_rgb_grd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lementation:Clients:Pitney Bowes:Visual Identity:Logo:Logo :Raster:RGB:Positive:int_pb_hor_rgb_grd_p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5" t="21408" r="8234" b="21994"/>
                    <a:stretch/>
                  </pic:blipFill>
                  <pic:spPr bwMode="auto">
                    <a:xfrm>
                      <a:off x="0" y="0"/>
                      <a:ext cx="22872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92579" w14:textId="77777777" w:rsidR="00823BF3" w:rsidRDefault="00823BF3" w:rsidP="00F515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77F4502" w14:textId="77777777" w:rsidR="00823BF3" w:rsidRDefault="00823BF3" w:rsidP="00F515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8874473" w14:textId="3DFB9D72" w:rsidR="00823BF3" w:rsidRDefault="00823BF3" w:rsidP="00F515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D836011" w14:textId="77777777" w:rsidR="00823BF3" w:rsidRDefault="00823BF3" w:rsidP="00F515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00C1229D" w14:textId="19FCE5CE" w:rsidR="00823BF3" w:rsidRDefault="00020560" w:rsidP="00F515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0" wp14:anchorId="1608C4D0" wp14:editId="69732325">
                <wp:simplePos x="0" y="0"/>
                <wp:positionH relativeFrom="page">
                  <wp:posOffset>965835</wp:posOffset>
                </wp:positionH>
                <wp:positionV relativeFrom="page">
                  <wp:posOffset>1488440</wp:posOffset>
                </wp:positionV>
                <wp:extent cx="3236595" cy="567055"/>
                <wp:effectExtent l="0" t="0" r="14605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659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356FC" w14:textId="77777777" w:rsidR="00020560" w:rsidRPr="0027452F" w:rsidRDefault="00020560" w:rsidP="00020560">
                            <w:pPr>
                              <w:pStyle w:val="DocumentName"/>
                            </w:pPr>
                            <w:r w:rsidRPr="0027452F">
                              <w:t>Communiqué de presse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8C4D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6.05pt;margin-top:117.2pt;width:254.85pt;height:44.65pt;z-index:251661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" o:allowoverlap="f" filled="f" stroked="f">
                <v:path arrowok="t"/>
                <v:textbox inset="0,0,0,0">
                  <w:txbxContent>
                    <w:p w14:paraId="6D1356FC" w14:textId="77777777" w:rsidR="00020560" w:rsidRPr="0027452F" w:rsidRDefault="00020560" w:rsidP="00020560">
                      <w:pPr>
                        <w:pStyle w:val="DocumentName"/>
                      </w:pPr>
                      <w:r w:rsidRPr="0027452F">
                        <w:t>Communiqué de presse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58AF74" w14:textId="77777777" w:rsidR="00823BF3" w:rsidRDefault="00823BF3" w:rsidP="00F515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51794303" w14:textId="77777777" w:rsidR="00823BF3" w:rsidRDefault="00823BF3" w:rsidP="00823BF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40CA5CE" w14:textId="77777777" w:rsidR="00823BF3" w:rsidRDefault="00823BF3" w:rsidP="00F515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7CE30A6" w14:textId="176947AA" w:rsidR="00954D8C" w:rsidRPr="00823BF3" w:rsidRDefault="00823BF3" w:rsidP="00F515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23BF3">
        <w:rPr>
          <w:rFonts w:ascii="Arial" w:hAnsi="Arial" w:cs="Arial"/>
          <w:b/>
          <w:sz w:val="28"/>
          <w:szCs w:val="28"/>
        </w:rPr>
        <w:t>Salon Solutions 2016 :</w:t>
      </w:r>
    </w:p>
    <w:p w14:paraId="4E77F51B" w14:textId="0F5FB357" w:rsidR="00823BF3" w:rsidRPr="00823BF3" w:rsidRDefault="00823BF3" w:rsidP="00F515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23BF3">
        <w:rPr>
          <w:rFonts w:ascii="Arial" w:hAnsi="Arial" w:cs="Arial"/>
          <w:b/>
          <w:sz w:val="28"/>
          <w:szCs w:val="28"/>
        </w:rPr>
        <w:t xml:space="preserve">Pitney Bowes présente </w:t>
      </w:r>
      <w:r>
        <w:rPr>
          <w:rFonts w:ascii="Arial" w:hAnsi="Arial" w:cs="Arial"/>
          <w:b/>
          <w:sz w:val="28"/>
          <w:szCs w:val="28"/>
        </w:rPr>
        <w:t>sa gamme complète de</w:t>
      </w:r>
      <w:r w:rsidRPr="00823BF3">
        <w:rPr>
          <w:rFonts w:ascii="Arial" w:hAnsi="Arial" w:cs="Arial"/>
          <w:b/>
          <w:sz w:val="28"/>
          <w:szCs w:val="28"/>
        </w:rPr>
        <w:t xml:space="preserve"> solutions </w:t>
      </w:r>
      <w:r w:rsidR="0015626E">
        <w:rPr>
          <w:rFonts w:ascii="Arial" w:hAnsi="Arial" w:cs="Arial"/>
          <w:b/>
          <w:sz w:val="28"/>
          <w:szCs w:val="28"/>
        </w:rPr>
        <w:t xml:space="preserve">logicielles </w:t>
      </w:r>
      <w:r>
        <w:rPr>
          <w:rFonts w:ascii="Arial" w:hAnsi="Arial" w:cs="Arial"/>
          <w:b/>
          <w:sz w:val="28"/>
          <w:szCs w:val="28"/>
        </w:rPr>
        <w:t xml:space="preserve">pour gérer toute la communication client de l’entreprise, </w:t>
      </w:r>
      <w:r w:rsidR="0015626E">
        <w:rPr>
          <w:rFonts w:ascii="Arial" w:hAnsi="Arial" w:cs="Arial"/>
          <w:b/>
          <w:sz w:val="28"/>
          <w:szCs w:val="28"/>
        </w:rPr>
        <w:t xml:space="preserve">du courrier traditionnel à la relation client </w:t>
      </w:r>
      <w:r w:rsidR="00B902A9">
        <w:rPr>
          <w:rFonts w:ascii="Arial" w:hAnsi="Arial" w:cs="Arial"/>
          <w:b/>
          <w:sz w:val="28"/>
          <w:szCs w:val="28"/>
        </w:rPr>
        <w:t>multicanal</w:t>
      </w:r>
    </w:p>
    <w:p w14:paraId="2EEC7EA7" w14:textId="77777777" w:rsidR="0015626E" w:rsidRDefault="0015626E" w:rsidP="00F515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0B956C8" w14:textId="5F837677" w:rsidR="00823BF3" w:rsidRDefault="009768EA" w:rsidP="00F515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20-21-</w:t>
      </w:r>
      <w:r w:rsidR="00823BF3" w:rsidRPr="0072432D">
        <w:rPr>
          <w:rFonts w:ascii="Arial" w:hAnsi="Arial" w:cs="Arial"/>
          <w:b/>
          <w:sz w:val="20"/>
          <w:szCs w:val="20"/>
        </w:rPr>
        <w:t>22 septembre 2016</w:t>
      </w:r>
    </w:p>
    <w:p w14:paraId="3751207C" w14:textId="7F3DF17F" w:rsidR="00823BF3" w:rsidRDefault="00823BF3" w:rsidP="00F515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Porte de Versailles – Stand D9</w:t>
      </w:r>
    </w:p>
    <w:p w14:paraId="7E157A3F" w14:textId="3CE96A40" w:rsidR="00B902A9" w:rsidRDefault="006D1254" w:rsidP="00F515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B902A9" w:rsidRPr="00F157A2">
          <w:rPr>
            <w:rStyle w:val="Lienhypertexte"/>
            <w:rFonts w:ascii="Arial" w:hAnsi="Arial" w:cs="Arial"/>
            <w:b/>
            <w:sz w:val="20"/>
            <w:szCs w:val="20"/>
          </w:rPr>
          <w:t>http://www.pitneybowes.com/fr/societe/nos-activites.html</w:t>
        </w:r>
      </w:hyperlink>
    </w:p>
    <w:p w14:paraId="0A619734" w14:textId="77777777" w:rsidR="00B902A9" w:rsidRDefault="00B902A9" w:rsidP="00F515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B2CA551" w14:textId="77777777" w:rsidR="002F3F01" w:rsidRPr="00275F8F" w:rsidRDefault="002F3F01" w:rsidP="00747A43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20"/>
          <w:szCs w:val="20"/>
          <w:lang w:eastAsia="ja-JP"/>
        </w:rPr>
      </w:pPr>
    </w:p>
    <w:p w14:paraId="38F3F43C" w14:textId="20B8C63F" w:rsidR="0083081E" w:rsidRDefault="00747A43" w:rsidP="008308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18376A"/>
          <w:sz w:val="20"/>
          <w:szCs w:val="20"/>
          <w:lang w:eastAsia="ja-JP"/>
        </w:rPr>
      </w:pPr>
      <w:r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Pitney Bowes</w:t>
      </w:r>
      <w:r w:rsidR="00F16393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</w:t>
      </w:r>
      <w:r w:rsidR="002F6B40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(NYSE: PBI)</w:t>
      </w:r>
      <w:r w:rsidR="00393297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, </w:t>
      </w:r>
      <w:r w:rsidR="00F5151E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entreprise mondiale active dans le secteur technologique offrant des produits et solutions innovants au service du commerce</w:t>
      </w:r>
      <w:r w:rsidR="00393297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, </w:t>
      </w:r>
      <w:r w:rsidR="00F5151E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présentera ses dernières nouveautés</w:t>
      </w:r>
      <w:r w:rsidR="00954D8C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pour l’optimisation du traitement et de l’</w:t>
      </w:r>
      <w:r w:rsidR="0072432D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expédition</w:t>
      </w:r>
      <w:r w:rsidR="00954D8C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du courrier,</w:t>
      </w:r>
      <w:r w:rsidR="00823BF3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sur</w:t>
      </w:r>
      <w:r w:rsidR="0083081E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le salon des Solutions, </w:t>
      </w:r>
      <w:r w:rsidR="00F16393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Porte de Versailles à Paris sur le </w:t>
      </w:r>
      <w:r w:rsidR="0083081E">
        <w:rPr>
          <w:rFonts w:asciiTheme="majorHAnsi" w:hAnsiTheme="majorHAnsi" w:cs="Calibri"/>
          <w:color w:val="18376A"/>
          <w:sz w:val="20"/>
          <w:szCs w:val="20"/>
          <w:lang w:eastAsia="ja-JP"/>
        </w:rPr>
        <w:t>stand D9 :</w:t>
      </w:r>
    </w:p>
    <w:p w14:paraId="6B9A156F" w14:textId="77777777" w:rsidR="00823BF3" w:rsidRDefault="00823BF3" w:rsidP="008308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18376A"/>
          <w:sz w:val="20"/>
          <w:szCs w:val="20"/>
          <w:lang w:eastAsia="ja-JP"/>
        </w:rPr>
      </w:pPr>
    </w:p>
    <w:p w14:paraId="762BECA9" w14:textId="01ED7306" w:rsidR="007868FE" w:rsidRPr="0083081E" w:rsidRDefault="0083081E" w:rsidP="0083081E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="Calibri"/>
          <w:color w:val="18376A"/>
          <w:sz w:val="20"/>
          <w:szCs w:val="20"/>
          <w:lang w:eastAsia="ja-JP"/>
        </w:rPr>
      </w:pPr>
      <w:r w:rsidRPr="0015626E">
        <w:rPr>
          <w:rFonts w:asciiTheme="majorHAnsi" w:hAnsiTheme="majorHAnsi" w:cs="Calibri"/>
          <w:b/>
          <w:color w:val="18376A"/>
          <w:sz w:val="20"/>
          <w:szCs w:val="20"/>
          <w:lang w:eastAsia="ja-JP"/>
        </w:rPr>
        <w:t>Le H</w:t>
      </w:r>
      <w:r w:rsidR="00F5151E" w:rsidRPr="0015626E">
        <w:rPr>
          <w:rFonts w:asciiTheme="majorHAnsi" w:hAnsiTheme="majorHAnsi" w:cs="Calibri"/>
          <w:b/>
          <w:color w:val="18376A"/>
          <w:sz w:val="20"/>
          <w:szCs w:val="20"/>
          <w:lang w:eastAsia="ja-JP"/>
        </w:rPr>
        <w:t>ub</w:t>
      </w:r>
      <w:r w:rsidR="007F6467" w:rsidRPr="0015626E">
        <w:rPr>
          <w:rFonts w:asciiTheme="majorHAnsi" w:hAnsiTheme="majorHAnsi" w:cs="Calibri"/>
          <w:b/>
          <w:color w:val="18376A"/>
          <w:sz w:val="20"/>
          <w:szCs w:val="20"/>
          <w:lang w:eastAsia="ja-JP"/>
        </w:rPr>
        <w:t xml:space="preserve"> de communication Relay™</w:t>
      </w:r>
      <w:r w:rsidR="00F5151E" w:rsidRPr="0083081E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– </w:t>
      </w:r>
      <w:r w:rsidR="007868FE" w:rsidRPr="0083081E">
        <w:rPr>
          <w:rFonts w:asciiTheme="majorHAnsi" w:hAnsiTheme="majorHAnsi" w:cs="Calibri"/>
          <w:color w:val="18376A"/>
          <w:sz w:val="20"/>
          <w:szCs w:val="20"/>
          <w:lang w:eastAsia="ja-JP"/>
        </w:rPr>
        <w:t>solution en SaaS d’enrichissement de</w:t>
      </w:r>
      <w:r w:rsidR="0072432D" w:rsidRPr="0083081E">
        <w:rPr>
          <w:rFonts w:asciiTheme="majorHAnsi" w:hAnsiTheme="majorHAnsi" w:cs="Calibri"/>
          <w:color w:val="18376A"/>
          <w:sz w:val="20"/>
          <w:szCs w:val="20"/>
          <w:lang w:eastAsia="ja-JP"/>
        </w:rPr>
        <w:t>s documents et des</w:t>
      </w:r>
      <w:r w:rsidR="007868FE" w:rsidRPr="0083081E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flux d’impression permettant de modifier </w:t>
      </w:r>
      <w:r w:rsidRPr="0083081E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et améliorer </w:t>
      </w:r>
      <w:r w:rsidR="007868FE" w:rsidRPr="0083081E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un document standard </w:t>
      </w:r>
    </w:p>
    <w:p w14:paraId="6E693298" w14:textId="5C8613F4" w:rsidR="00F5151E" w:rsidRDefault="00823BF3" w:rsidP="0083081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Calibri"/>
          <w:color w:val="18376A"/>
          <w:sz w:val="20"/>
          <w:szCs w:val="20"/>
          <w:lang w:eastAsia="ja-JP"/>
        </w:rPr>
      </w:pPr>
      <w:r w:rsidRPr="0015626E">
        <w:rPr>
          <w:rFonts w:asciiTheme="majorHAnsi" w:hAnsiTheme="majorHAnsi" w:cs="Calibri"/>
          <w:b/>
          <w:color w:val="18376A"/>
          <w:sz w:val="20"/>
          <w:szCs w:val="20"/>
          <w:lang w:eastAsia="ja-JP"/>
        </w:rPr>
        <w:t>Planet P</w:t>
      </w:r>
      <w:r w:rsidR="00F5151E" w:rsidRPr="0015626E">
        <w:rPr>
          <w:rFonts w:asciiTheme="majorHAnsi" w:hAnsiTheme="majorHAnsi" w:cs="Calibri"/>
          <w:b/>
          <w:color w:val="18376A"/>
          <w:sz w:val="20"/>
          <w:szCs w:val="20"/>
          <w:lang w:eastAsia="ja-JP"/>
        </w:rPr>
        <w:t>ress</w:t>
      </w:r>
      <w:r w:rsidR="00F5151E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– </w:t>
      </w:r>
      <w:r w:rsidR="00BB7537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solution éditique locale (logiciel de composition de document) installée chez le client adaptée à</w:t>
      </w:r>
      <w:r w:rsidR="007868FE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l’</w:t>
      </w:r>
      <w:r w:rsidR="00BB7537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environnement Informatique</w:t>
      </w:r>
      <w:r w:rsidR="007868FE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existant</w:t>
      </w:r>
    </w:p>
    <w:p w14:paraId="07B4959C" w14:textId="77777777" w:rsidR="0083081E" w:rsidRPr="00977A10" w:rsidRDefault="0083081E" w:rsidP="0083081E">
      <w:pPr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Calibri"/>
          <w:color w:val="18376A"/>
          <w:sz w:val="10"/>
          <w:szCs w:val="10"/>
          <w:lang w:eastAsia="ja-JP"/>
        </w:rPr>
      </w:pPr>
    </w:p>
    <w:p w14:paraId="113A96F4" w14:textId="77777777" w:rsidR="00C30596" w:rsidRDefault="00C30596" w:rsidP="0072432D">
      <w:pPr>
        <w:pStyle w:val="Paragraphedeliste"/>
        <w:widowControl w:val="0"/>
        <w:autoSpaceDE w:val="0"/>
        <w:autoSpaceDN w:val="0"/>
        <w:adjustRightInd w:val="0"/>
        <w:ind w:left="0"/>
        <w:jc w:val="both"/>
        <w:rPr>
          <w:rFonts w:asciiTheme="majorHAnsi" w:hAnsiTheme="majorHAnsi" w:cs="Calibri"/>
          <w:color w:val="18376A"/>
          <w:sz w:val="20"/>
          <w:szCs w:val="20"/>
          <w:lang w:eastAsia="ja-JP"/>
        </w:rPr>
      </w:pPr>
    </w:p>
    <w:p w14:paraId="6A6E6480" w14:textId="7780549A" w:rsidR="00747A43" w:rsidRPr="00954D8C" w:rsidRDefault="00F5151E" w:rsidP="0072432D">
      <w:pPr>
        <w:pStyle w:val="Paragraphedeliste"/>
        <w:widowControl w:val="0"/>
        <w:autoSpaceDE w:val="0"/>
        <w:autoSpaceDN w:val="0"/>
        <w:adjustRightInd w:val="0"/>
        <w:ind w:left="0"/>
        <w:jc w:val="both"/>
        <w:rPr>
          <w:rFonts w:asciiTheme="majorHAnsi" w:hAnsiTheme="majorHAnsi"/>
          <w:sz w:val="20"/>
          <w:szCs w:val="20"/>
          <w:lang w:eastAsia="ja-JP"/>
        </w:rPr>
      </w:pPr>
      <w:r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Pitney Bowes </w:t>
      </w:r>
      <w:r w:rsidR="00C30596">
        <w:rPr>
          <w:rFonts w:asciiTheme="majorHAnsi" w:hAnsiTheme="majorHAnsi" w:cs="Calibri"/>
          <w:color w:val="18376A"/>
          <w:sz w:val="20"/>
          <w:szCs w:val="20"/>
          <w:lang w:eastAsia="ja-JP"/>
        </w:rPr>
        <w:t>accompagne</w:t>
      </w:r>
      <w:r w:rsidR="00747A43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</w:t>
      </w:r>
      <w:r w:rsidR="002F3F01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se</w:t>
      </w:r>
      <w:r w:rsidR="00747A43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s clients da</w:t>
      </w:r>
      <w:r w:rsidR="002F3F01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ns la chaine de gestion de leur</w:t>
      </w:r>
      <w:r w:rsidR="0072432D">
        <w:rPr>
          <w:rFonts w:asciiTheme="majorHAnsi" w:hAnsiTheme="majorHAnsi" w:cs="Calibri"/>
          <w:color w:val="18376A"/>
          <w:sz w:val="20"/>
          <w:szCs w:val="20"/>
          <w:lang w:eastAsia="ja-JP"/>
        </w:rPr>
        <w:t>s documents et de leurs</w:t>
      </w:r>
      <w:r w:rsidR="00747A43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</w:t>
      </w:r>
      <w:r w:rsidR="002F3F01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communication</w:t>
      </w:r>
      <w:r w:rsidR="0072432D">
        <w:rPr>
          <w:rFonts w:asciiTheme="majorHAnsi" w:hAnsiTheme="majorHAnsi" w:cs="Calibri"/>
          <w:color w:val="18376A"/>
          <w:sz w:val="20"/>
          <w:szCs w:val="20"/>
          <w:lang w:eastAsia="ja-JP"/>
        </w:rPr>
        <w:t>s</w:t>
      </w:r>
      <w:r w:rsidR="00747A43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</w:t>
      </w:r>
      <w:r w:rsidR="002F3F01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client </w:t>
      </w:r>
      <w:r w:rsidR="00747A43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de</w:t>
      </w:r>
      <w:r w:rsidR="002F3F01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puis</w:t>
      </w:r>
      <w:r w:rsidR="00747A43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la composition à la diffusion de </w:t>
      </w:r>
      <w:r w:rsidR="002F3F01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leurs</w:t>
      </w:r>
      <w:r w:rsidR="00747A43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document</w:t>
      </w:r>
      <w:r w:rsidR="002F3F01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s. Q</w:t>
      </w:r>
      <w:r w:rsidR="00747A43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uel que soit </w:t>
      </w:r>
      <w:r w:rsidR="002F3F01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le</w:t>
      </w:r>
      <w:r w:rsidR="00747A43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</w:t>
      </w:r>
      <w:r w:rsidR="002F3F01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canal</w:t>
      </w:r>
      <w:r w:rsidR="00747A43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de distribution du document ou l’environnement informatique </w:t>
      </w:r>
      <w:r w:rsidR="002F3F01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existant</w:t>
      </w:r>
      <w:r w:rsidR="00747A43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, </w:t>
      </w:r>
      <w:r w:rsidR="002F3F01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l’éditeur</w:t>
      </w:r>
      <w:r w:rsidR="00747A43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</w:t>
      </w:r>
      <w:r w:rsidR="00393297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est le seul acteur du marché à proposer une chaine complète de solutions</w:t>
      </w:r>
      <w:r w:rsidR="00747A43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</w:t>
      </w:r>
      <w:r w:rsidR="00393297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de communication client </w:t>
      </w:r>
      <w:r w:rsidR="002F3F01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multicanal </w:t>
      </w:r>
      <w:r w:rsidR="00393297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capable de</w:t>
      </w:r>
      <w:r w:rsidR="002F3F01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 : </w:t>
      </w:r>
      <w:r w:rsidR="00954D8C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centraliser, </w:t>
      </w:r>
      <w:r w:rsidR="00747A43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regrouper, composer, décomposer, zoomer, améliorer, </w:t>
      </w:r>
      <w:r w:rsidR="00954D8C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automatiser, imprimer, </w:t>
      </w:r>
      <w:r w:rsidR="00747A43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rajouter, </w:t>
      </w:r>
      <w:r w:rsidR="00954D8C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dématérialiser, </w:t>
      </w:r>
      <w:r w:rsidR="0072432D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archiver, signer, </w:t>
      </w:r>
      <w:r w:rsidR="00954D8C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personnaliser, tracer et </w:t>
      </w:r>
      <w:r w:rsidR="00393297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enfin </w:t>
      </w:r>
      <w:r w:rsidR="00747A43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envoyer</w:t>
      </w:r>
      <w:r w:rsidR="00954D8C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de manière sécurisée toute la communication de l’entreprise</w:t>
      </w:r>
      <w:r w:rsidR="00393297" w:rsidRPr="00954D8C">
        <w:rPr>
          <w:rFonts w:asciiTheme="majorHAnsi" w:hAnsiTheme="majorHAnsi" w:cs="Calibri"/>
          <w:color w:val="18376A"/>
          <w:sz w:val="20"/>
          <w:szCs w:val="20"/>
          <w:lang w:eastAsia="ja-JP"/>
        </w:rPr>
        <w:t>.</w:t>
      </w:r>
    </w:p>
    <w:p w14:paraId="686A40EB" w14:textId="77777777" w:rsidR="00020560" w:rsidRDefault="00020560" w:rsidP="00747A43">
      <w:pPr>
        <w:rPr>
          <w:rFonts w:asciiTheme="majorHAnsi" w:hAnsiTheme="majorHAnsi" w:cs="Calibri"/>
          <w:color w:val="18376A"/>
          <w:sz w:val="20"/>
          <w:szCs w:val="20"/>
          <w:lang w:eastAsia="ja-JP"/>
        </w:rPr>
      </w:pPr>
    </w:p>
    <w:p w14:paraId="28127272" w14:textId="24442E70" w:rsidR="007868FE" w:rsidRPr="00275F8F" w:rsidRDefault="007868FE" w:rsidP="00747A43">
      <w:pPr>
        <w:rPr>
          <w:rFonts w:asciiTheme="majorHAnsi" w:hAnsiTheme="majorHAnsi" w:cs="Calibri"/>
          <w:color w:val="18376A"/>
          <w:sz w:val="20"/>
          <w:szCs w:val="20"/>
          <w:lang w:eastAsia="ja-JP"/>
        </w:rPr>
      </w:pP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Les solutions </w:t>
      </w:r>
      <w:r w:rsidR="00954D8C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logicielles de communication multicanal </w:t>
      </w: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de Pitney Bowes </w:t>
      </w:r>
      <w:r w:rsidR="0083081E">
        <w:rPr>
          <w:rFonts w:asciiTheme="majorHAnsi" w:hAnsiTheme="majorHAnsi" w:cs="Calibri"/>
          <w:color w:val="18376A"/>
          <w:sz w:val="20"/>
          <w:szCs w:val="20"/>
          <w:lang w:eastAsia="ja-JP"/>
        </w:rPr>
        <w:t>s’inscrivent dans la transformation numérique des entreprises et permettent</w:t>
      </w:r>
      <w:r w:rsidR="00954D8C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:</w:t>
      </w:r>
    </w:p>
    <w:p w14:paraId="66BD4120" w14:textId="3F7B33AF" w:rsidR="002F6B40" w:rsidRPr="00275F8F" w:rsidRDefault="00F16393" w:rsidP="007868FE">
      <w:pPr>
        <w:pStyle w:val="Paragraphedeliste"/>
        <w:numPr>
          <w:ilvl w:val="0"/>
          <w:numId w:val="2"/>
        </w:numPr>
        <w:rPr>
          <w:rFonts w:asciiTheme="majorHAnsi" w:hAnsiTheme="majorHAnsi" w:cs="Calibri"/>
          <w:color w:val="18376A"/>
          <w:sz w:val="20"/>
          <w:szCs w:val="20"/>
          <w:lang w:eastAsia="ja-JP"/>
        </w:rPr>
      </w:pPr>
      <w:r>
        <w:rPr>
          <w:rFonts w:asciiTheme="majorHAnsi" w:hAnsiTheme="majorHAnsi" w:cs="Calibri"/>
          <w:noProof/>
          <w:color w:val="18376A"/>
          <w:sz w:val="20"/>
          <w:szCs w:val="20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58406CA4" wp14:editId="55395E84">
            <wp:simplePos x="0" y="0"/>
            <wp:positionH relativeFrom="margin">
              <wp:posOffset>3752850</wp:posOffset>
            </wp:positionH>
            <wp:positionV relativeFrom="margin">
              <wp:posOffset>3079115</wp:posOffset>
            </wp:positionV>
            <wp:extent cx="2278380" cy="2320290"/>
            <wp:effectExtent l="0" t="0" r="762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8FE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d’améliorer l’impact d’une communication papier en offrant des options de personnal</w:t>
      </w:r>
      <w:r w:rsidR="00C30596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isation et </w:t>
      </w:r>
      <w:r w:rsidR="007868FE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d’enrichissement du document pour garantir un paiement plus rapide des factures et renforcer le taux de réponse</w:t>
      </w:r>
    </w:p>
    <w:p w14:paraId="05784DEF" w14:textId="4F18A41C" w:rsidR="007868FE" w:rsidRPr="00275F8F" w:rsidRDefault="00954D8C" w:rsidP="00F16393">
      <w:pPr>
        <w:pStyle w:val="Paragraphedeliste"/>
        <w:numPr>
          <w:ilvl w:val="0"/>
          <w:numId w:val="2"/>
        </w:numPr>
        <w:rPr>
          <w:rFonts w:asciiTheme="majorHAnsi" w:hAnsiTheme="majorHAnsi" w:cs="Calibri"/>
          <w:color w:val="18376A"/>
          <w:sz w:val="20"/>
          <w:szCs w:val="20"/>
          <w:lang w:eastAsia="ja-JP"/>
        </w:rPr>
      </w:pP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de </w:t>
      </w:r>
      <w:r w:rsidR="007868FE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regrouper plusieurs documents dans un même pli destiné au même destinataire</w:t>
      </w:r>
      <w:r w:rsidR="0072432D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et ainsi de réduire le</w:t>
      </w:r>
      <w:r w:rsidR="00020560">
        <w:rPr>
          <w:rFonts w:asciiTheme="majorHAnsi" w:hAnsiTheme="majorHAnsi" w:cs="Calibri"/>
          <w:color w:val="18376A"/>
          <w:sz w:val="20"/>
          <w:szCs w:val="20"/>
          <w:lang w:eastAsia="ja-JP"/>
        </w:rPr>
        <w:t>s coûts d’impression et postaux</w:t>
      </w:r>
    </w:p>
    <w:p w14:paraId="73526D1D" w14:textId="1D073741" w:rsidR="007868FE" w:rsidRPr="00275F8F" w:rsidRDefault="00954D8C" w:rsidP="00F16393">
      <w:pPr>
        <w:pStyle w:val="Paragraphedeliste"/>
        <w:numPr>
          <w:ilvl w:val="0"/>
          <w:numId w:val="2"/>
        </w:numPr>
        <w:rPr>
          <w:rFonts w:asciiTheme="majorHAnsi" w:hAnsiTheme="majorHAnsi" w:cs="Calibri"/>
          <w:color w:val="18376A"/>
          <w:sz w:val="20"/>
          <w:szCs w:val="20"/>
          <w:lang w:eastAsia="ja-JP"/>
        </w:rPr>
      </w:pP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d’</w:t>
      </w:r>
      <w:r w:rsidR="007868FE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ajouter des codes OMR, 1D, 2D</w:t>
      </w:r>
      <w:r w:rsidR="00C30596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pour garantir l’intégrité de</w:t>
      </w:r>
      <w:r w:rsidR="007868FE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s documents</w:t>
      </w:r>
    </w:p>
    <w:p w14:paraId="3C30E094" w14:textId="7FC596FF" w:rsidR="007868FE" w:rsidRPr="00275F8F" w:rsidRDefault="00020560" w:rsidP="00F16393">
      <w:pPr>
        <w:pStyle w:val="Paragraphedeliste"/>
        <w:numPr>
          <w:ilvl w:val="0"/>
          <w:numId w:val="2"/>
        </w:numPr>
        <w:rPr>
          <w:rFonts w:asciiTheme="majorHAnsi" w:hAnsiTheme="majorHAnsi" w:cs="Calibri"/>
          <w:color w:val="18376A"/>
          <w:sz w:val="20"/>
          <w:szCs w:val="20"/>
          <w:lang w:eastAsia="ja-JP"/>
        </w:rPr>
      </w:pPr>
      <w:r>
        <w:rPr>
          <w:rFonts w:asciiTheme="majorHAnsi" w:hAnsiTheme="majorHAnsi" w:cs="Calibri"/>
          <w:color w:val="18376A"/>
          <w:sz w:val="20"/>
          <w:szCs w:val="20"/>
          <w:lang w:eastAsia="ja-JP"/>
        </w:rPr>
        <w:t>d’optimiser la productivité du système</w:t>
      </w:r>
      <w:r w:rsidR="007868FE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d’impression</w:t>
      </w:r>
      <w:r w:rsidR="00C30596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</w:t>
      </w:r>
      <w:r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utilisé </w:t>
      </w:r>
      <w:r w:rsidR="00C30596">
        <w:rPr>
          <w:rFonts w:asciiTheme="majorHAnsi" w:hAnsiTheme="majorHAnsi" w:cs="Calibri"/>
          <w:color w:val="18376A"/>
          <w:sz w:val="20"/>
          <w:szCs w:val="20"/>
          <w:lang w:eastAsia="ja-JP"/>
        </w:rPr>
        <w:t>en s’intégrant à l’environnement existant</w:t>
      </w:r>
    </w:p>
    <w:p w14:paraId="3A246F19" w14:textId="3216F494" w:rsidR="007868FE" w:rsidRPr="00275F8F" w:rsidRDefault="00C30596" w:rsidP="00F16393">
      <w:pPr>
        <w:pStyle w:val="Paragraphedeliste"/>
        <w:numPr>
          <w:ilvl w:val="0"/>
          <w:numId w:val="2"/>
        </w:numPr>
        <w:rPr>
          <w:rFonts w:asciiTheme="majorHAnsi" w:hAnsiTheme="majorHAnsi" w:cs="Calibri"/>
          <w:color w:val="18376A"/>
          <w:sz w:val="20"/>
          <w:szCs w:val="20"/>
          <w:lang w:eastAsia="ja-JP"/>
        </w:rPr>
      </w:pPr>
      <w:r>
        <w:rPr>
          <w:rFonts w:asciiTheme="majorHAnsi" w:hAnsiTheme="majorHAnsi" w:cs="Calibri"/>
          <w:color w:val="18376A"/>
          <w:sz w:val="20"/>
          <w:szCs w:val="20"/>
          <w:lang w:eastAsia="ja-JP"/>
        </w:rPr>
        <w:t>d</w:t>
      </w:r>
      <w:r w:rsidR="00020560">
        <w:rPr>
          <w:rFonts w:asciiTheme="majorHAnsi" w:hAnsiTheme="majorHAnsi" w:cs="Calibri"/>
          <w:color w:val="18376A"/>
          <w:sz w:val="20"/>
          <w:szCs w:val="20"/>
          <w:lang w:eastAsia="ja-JP"/>
        </w:rPr>
        <w:t>e garantir</w:t>
      </w:r>
      <w:r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</w:t>
      </w:r>
      <w:r w:rsidR="007868FE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un plan de continuité d’activité grâce à un détournement du cou</w:t>
      </w:r>
      <w:r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rrier </w:t>
      </w:r>
      <w:r w:rsidR="007868FE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sur un site extérieur en cas de pic de production ou d’arrêt temporaire du système interne</w:t>
      </w:r>
    </w:p>
    <w:p w14:paraId="22C6EA0D" w14:textId="23E3D670" w:rsidR="007868FE" w:rsidRDefault="00954D8C" w:rsidP="00F16393">
      <w:pPr>
        <w:pStyle w:val="Paragraphedeliste"/>
        <w:numPr>
          <w:ilvl w:val="0"/>
          <w:numId w:val="2"/>
        </w:numPr>
        <w:rPr>
          <w:rFonts w:asciiTheme="majorHAnsi" w:hAnsiTheme="majorHAnsi" w:cs="Calibri"/>
          <w:color w:val="18376A"/>
          <w:sz w:val="20"/>
          <w:szCs w:val="20"/>
          <w:lang w:eastAsia="ja-JP"/>
        </w:rPr>
      </w:pP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d’envoyer tout ou partie </w:t>
      </w:r>
      <w:r w:rsidR="0083081E">
        <w:rPr>
          <w:rFonts w:asciiTheme="majorHAnsi" w:hAnsiTheme="majorHAnsi" w:cs="Calibri"/>
          <w:color w:val="18376A"/>
          <w:sz w:val="20"/>
          <w:szCs w:val="20"/>
          <w:lang w:eastAsia="ja-JP"/>
        </w:rPr>
        <w:t>des</w:t>
      </w: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communications par email</w:t>
      </w:r>
    </w:p>
    <w:p w14:paraId="3C11B1BB" w14:textId="0DDC3877" w:rsidR="0072432D" w:rsidRPr="00275F8F" w:rsidRDefault="0072432D" w:rsidP="00F16393">
      <w:pPr>
        <w:pStyle w:val="Paragraphedeliste"/>
        <w:numPr>
          <w:ilvl w:val="0"/>
          <w:numId w:val="2"/>
        </w:numPr>
        <w:rPr>
          <w:rFonts w:asciiTheme="majorHAnsi" w:hAnsiTheme="majorHAnsi" w:cs="Calibri"/>
          <w:color w:val="18376A"/>
          <w:sz w:val="20"/>
          <w:szCs w:val="20"/>
          <w:lang w:eastAsia="ja-JP"/>
        </w:rPr>
      </w:pPr>
      <w:r>
        <w:rPr>
          <w:rFonts w:asciiTheme="majorHAnsi" w:hAnsiTheme="majorHAnsi" w:cs="Calibri"/>
          <w:color w:val="18376A"/>
          <w:sz w:val="20"/>
          <w:szCs w:val="20"/>
          <w:lang w:eastAsia="ja-JP"/>
        </w:rPr>
        <w:t>un accès simplifié à la plateforme Chorus</w:t>
      </w:r>
    </w:p>
    <w:p w14:paraId="440DB1A4" w14:textId="77777777" w:rsidR="00F5151E" w:rsidRPr="00977A10" w:rsidRDefault="00F5151E" w:rsidP="00747A43">
      <w:pPr>
        <w:rPr>
          <w:rFonts w:asciiTheme="majorHAnsi" w:hAnsiTheme="majorHAnsi" w:cs="Calibri"/>
          <w:color w:val="18376A"/>
          <w:sz w:val="10"/>
          <w:szCs w:val="10"/>
          <w:lang w:eastAsia="ja-JP"/>
        </w:rPr>
      </w:pPr>
    </w:p>
    <w:p w14:paraId="6DB5BE72" w14:textId="77777777" w:rsidR="00C30596" w:rsidRDefault="00C30596" w:rsidP="00747A43">
      <w:pPr>
        <w:rPr>
          <w:rFonts w:asciiTheme="majorHAnsi" w:hAnsiTheme="majorHAnsi" w:cs="Calibri"/>
          <w:b/>
          <w:color w:val="18376A"/>
          <w:sz w:val="20"/>
          <w:szCs w:val="20"/>
          <w:lang w:eastAsia="ja-JP"/>
        </w:rPr>
      </w:pPr>
    </w:p>
    <w:p w14:paraId="19D5D038" w14:textId="77777777" w:rsidR="00020560" w:rsidRDefault="00020560" w:rsidP="00747A43">
      <w:pPr>
        <w:rPr>
          <w:rFonts w:asciiTheme="majorHAnsi" w:hAnsiTheme="majorHAnsi" w:cs="Calibri"/>
          <w:b/>
          <w:color w:val="18376A"/>
          <w:sz w:val="20"/>
          <w:szCs w:val="20"/>
          <w:lang w:eastAsia="ja-JP"/>
        </w:rPr>
      </w:pPr>
    </w:p>
    <w:p w14:paraId="3AA1C664" w14:textId="77777777" w:rsidR="00020560" w:rsidRDefault="00020560" w:rsidP="00747A43">
      <w:pPr>
        <w:rPr>
          <w:rFonts w:asciiTheme="majorHAnsi" w:hAnsiTheme="majorHAnsi" w:cs="Calibri"/>
          <w:b/>
          <w:color w:val="18376A"/>
          <w:sz w:val="20"/>
          <w:szCs w:val="20"/>
          <w:lang w:eastAsia="ja-JP"/>
        </w:rPr>
      </w:pPr>
    </w:p>
    <w:p w14:paraId="6B44CBB2" w14:textId="77777777" w:rsidR="00020560" w:rsidRDefault="00020560" w:rsidP="00747A43">
      <w:pPr>
        <w:rPr>
          <w:rFonts w:asciiTheme="majorHAnsi" w:hAnsiTheme="majorHAnsi" w:cs="Calibri"/>
          <w:b/>
          <w:color w:val="18376A"/>
          <w:sz w:val="20"/>
          <w:szCs w:val="20"/>
          <w:lang w:eastAsia="ja-JP"/>
        </w:rPr>
      </w:pPr>
    </w:p>
    <w:p w14:paraId="49475A42" w14:textId="77777777" w:rsidR="00020560" w:rsidRDefault="00020560" w:rsidP="00747A43">
      <w:pPr>
        <w:rPr>
          <w:rFonts w:asciiTheme="majorHAnsi" w:hAnsiTheme="majorHAnsi" w:cs="Calibri"/>
          <w:b/>
          <w:color w:val="18376A"/>
          <w:sz w:val="20"/>
          <w:szCs w:val="20"/>
          <w:lang w:eastAsia="ja-JP"/>
        </w:rPr>
      </w:pPr>
    </w:p>
    <w:p w14:paraId="515E73B6" w14:textId="77777777" w:rsidR="00020560" w:rsidRDefault="00020560" w:rsidP="00747A43">
      <w:pPr>
        <w:rPr>
          <w:rFonts w:asciiTheme="majorHAnsi" w:hAnsiTheme="majorHAnsi" w:cs="Calibri"/>
          <w:b/>
          <w:color w:val="18376A"/>
          <w:sz w:val="20"/>
          <w:szCs w:val="20"/>
          <w:lang w:eastAsia="ja-JP"/>
        </w:rPr>
      </w:pPr>
    </w:p>
    <w:p w14:paraId="2F89EFE0" w14:textId="77777777" w:rsidR="00020560" w:rsidRDefault="00020560" w:rsidP="00747A43">
      <w:pPr>
        <w:rPr>
          <w:rFonts w:asciiTheme="majorHAnsi" w:hAnsiTheme="majorHAnsi" w:cs="Calibri"/>
          <w:b/>
          <w:color w:val="18376A"/>
          <w:sz w:val="20"/>
          <w:szCs w:val="20"/>
          <w:lang w:eastAsia="ja-JP"/>
        </w:rPr>
      </w:pPr>
    </w:p>
    <w:p w14:paraId="5C64ADE7" w14:textId="774151E9" w:rsidR="002F6B40" w:rsidRPr="00954D8C" w:rsidRDefault="0072432D" w:rsidP="00747A43">
      <w:pPr>
        <w:rPr>
          <w:rFonts w:asciiTheme="majorHAnsi" w:hAnsiTheme="majorHAnsi" w:cs="Calibri"/>
          <w:b/>
          <w:color w:val="18376A"/>
          <w:sz w:val="20"/>
          <w:szCs w:val="20"/>
          <w:lang w:eastAsia="ja-JP"/>
        </w:rPr>
      </w:pPr>
      <w:r>
        <w:rPr>
          <w:rFonts w:asciiTheme="majorHAnsi" w:hAnsiTheme="majorHAnsi" w:cs="Calibri"/>
          <w:b/>
          <w:color w:val="18376A"/>
          <w:sz w:val="20"/>
          <w:szCs w:val="20"/>
          <w:lang w:eastAsia="ja-JP"/>
        </w:rPr>
        <w:lastRenderedPageBreak/>
        <w:t>Chiffres clés</w:t>
      </w:r>
      <w:r w:rsidR="00CB0905">
        <w:rPr>
          <w:rFonts w:asciiTheme="majorHAnsi" w:hAnsiTheme="majorHAnsi" w:cs="Calibri"/>
          <w:b/>
          <w:color w:val="18376A"/>
          <w:sz w:val="20"/>
          <w:szCs w:val="20"/>
          <w:lang w:eastAsia="ja-JP"/>
        </w:rPr>
        <w:t xml:space="preserve"> Pitney Bowes</w:t>
      </w:r>
    </w:p>
    <w:p w14:paraId="51FD2355" w14:textId="77777777" w:rsidR="00CB0905" w:rsidRDefault="00CB0905" w:rsidP="00275F8F">
      <w:pPr>
        <w:jc w:val="both"/>
        <w:rPr>
          <w:rFonts w:asciiTheme="majorHAnsi" w:hAnsiTheme="majorHAnsi" w:cs="Calibri"/>
          <w:color w:val="18376A"/>
          <w:sz w:val="20"/>
          <w:szCs w:val="20"/>
          <w:lang w:eastAsia="ja-JP"/>
        </w:rPr>
      </w:pPr>
    </w:p>
    <w:p w14:paraId="1D706225" w14:textId="01C3EEC8" w:rsidR="00BB7537" w:rsidRPr="00275F8F" w:rsidRDefault="00BB7537" w:rsidP="00275F8F">
      <w:pPr>
        <w:jc w:val="both"/>
        <w:rPr>
          <w:rFonts w:asciiTheme="majorHAnsi" w:hAnsiTheme="majorHAnsi" w:cs="Calibri"/>
          <w:color w:val="18376A"/>
          <w:sz w:val="20"/>
          <w:szCs w:val="20"/>
          <w:lang w:eastAsia="ja-JP"/>
        </w:rPr>
      </w:pP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• En 2015, le</w:t>
      </w:r>
      <w:r w:rsidR="00977A10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chiffre d'affaires annuel de Pi</w:t>
      </w: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tney Bowes était de 3,6 milliards de dollars. Pitney Bowes a détenu plus de 4 500 brevets depuis sa fondation en 1920, 2 100 sont encore actifs aujourd'hui. </w:t>
      </w:r>
    </w:p>
    <w:p w14:paraId="7B71D624" w14:textId="51BA8CA1" w:rsidR="00BB7537" w:rsidRPr="00275F8F" w:rsidRDefault="00BB7537" w:rsidP="00275F8F">
      <w:pPr>
        <w:jc w:val="both"/>
        <w:rPr>
          <w:rFonts w:asciiTheme="majorHAnsi" w:hAnsiTheme="majorHAnsi" w:cs="Calibri"/>
          <w:color w:val="18376A"/>
          <w:sz w:val="20"/>
          <w:szCs w:val="20"/>
          <w:lang w:eastAsia="ja-JP"/>
        </w:rPr>
      </w:pP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• Pitney Bowes </w:t>
      </w:r>
      <w:r w:rsidR="00020560">
        <w:rPr>
          <w:rFonts w:asciiTheme="majorHAnsi" w:hAnsiTheme="majorHAnsi" w:cs="Calibri"/>
          <w:color w:val="18376A"/>
          <w:sz w:val="20"/>
          <w:szCs w:val="20"/>
          <w:lang w:eastAsia="ja-JP"/>
        </w:rPr>
        <w:t>équipe</w:t>
      </w: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plus de 1,5</w:t>
      </w:r>
      <w:r w:rsidR="00275F8F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million clients dans le monde, c</w:t>
      </w: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onstitués de plus de 1,5 million de petites entreprises, 90% des Fortune 500 et plus de 200 détaillants. </w:t>
      </w:r>
    </w:p>
    <w:p w14:paraId="593125D4" w14:textId="77777777" w:rsidR="00BB7537" w:rsidRPr="00275F8F" w:rsidRDefault="00275F8F" w:rsidP="00275F8F">
      <w:pPr>
        <w:jc w:val="both"/>
        <w:rPr>
          <w:rFonts w:asciiTheme="majorHAnsi" w:hAnsiTheme="majorHAnsi" w:cs="Calibri"/>
          <w:color w:val="18376A"/>
          <w:sz w:val="20"/>
          <w:szCs w:val="20"/>
          <w:lang w:eastAsia="ja-JP"/>
        </w:rPr>
      </w:pP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• </w:t>
      </w:r>
      <w:r w:rsidR="00BB7537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Pitney Bowes a des alliances technologiques stratégiques avec AWS, GE Predix, et IBM BlueMix. </w:t>
      </w:r>
    </w:p>
    <w:p w14:paraId="4D850E81" w14:textId="77777777" w:rsidR="00275F8F" w:rsidRPr="00275F8F" w:rsidRDefault="00275F8F" w:rsidP="00275F8F">
      <w:pPr>
        <w:jc w:val="both"/>
        <w:rPr>
          <w:rFonts w:asciiTheme="majorHAnsi" w:hAnsiTheme="majorHAnsi" w:cs="Calibri"/>
          <w:color w:val="18376A"/>
          <w:sz w:val="20"/>
          <w:szCs w:val="20"/>
          <w:lang w:eastAsia="ja-JP"/>
        </w:rPr>
      </w:pP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• </w:t>
      </w:r>
      <w:r w:rsidR="00BB7537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En 2015, Pitney Bowes a trié plus de 15 milliards de courrier aux Etats-Unis. </w:t>
      </w: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Les solutions d'e</w:t>
      </w:r>
      <w:r w:rsidR="00BB7537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xpédition sans frontière aide les vendeurs eBay américains pour l'envoi de marchandises vers leurs </w:t>
      </w: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acheteurs dans plus de 64 pays.</w:t>
      </w:r>
    </w:p>
    <w:p w14:paraId="048A5890" w14:textId="77777777" w:rsidR="00BB7537" w:rsidRPr="00275F8F" w:rsidRDefault="00275F8F" w:rsidP="00275F8F">
      <w:pPr>
        <w:jc w:val="both"/>
        <w:rPr>
          <w:rFonts w:asciiTheme="majorHAnsi" w:hAnsiTheme="majorHAnsi" w:cs="Calibri"/>
          <w:color w:val="18376A"/>
          <w:sz w:val="20"/>
          <w:szCs w:val="20"/>
          <w:lang w:eastAsia="ja-JP"/>
        </w:rPr>
      </w:pP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• Plus d'1</w:t>
      </w:r>
      <w:r w:rsidR="00BB7537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,2 milliard de personnes utilisent la technologie Location Intelligence de Pitney Bowes lorsqu'elles se connectent aux réseaux sociaux. Les solutions de géocodage et de géolocalisation (LI) de Pitney </w:t>
      </w: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Bowes sont utilisées par 25 des </w:t>
      </w:r>
      <w:r w:rsidR="00BB7537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compagnies américaines d'assurances (NAMIC). Les capacités de LI de Pitney Bowes couvrent 122 pays au niveau des rues et 240 au du code postal. </w:t>
      </w:r>
    </w:p>
    <w:p w14:paraId="4A743CCA" w14:textId="7387478D" w:rsidR="00BB7537" w:rsidRPr="00275F8F" w:rsidRDefault="00275F8F" w:rsidP="00275F8F">
      <w:pPr>
        <w:jc w:val="both"/>
        <w:rPr>
          <w:rFonts w:asciiTheme="majorHAnsi" w:hAnsiTheme="majorHAnsi" w:cs="Calibri"/>
          <w:color w:val="18376A"/>
          <w:sz w:val="20"/>
          <w:szCs w:val="20"/>
          <w:lang w:eastAsia="ja-JP"/>
        </w:rPr>
      </w:pP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• </w:t>
      </w:r>
      <w:r w:rsidR="00020560">
        <w:rPr>
          <w:rFonts w:asciiTheme="majorHAnsi" w:hAnsiTheme="majorHAnsi" w:cs="Calibri"/>
          <w:color w:val="18376A"/>
          <w:sz w:val="20"/>
          <w:szCs w:val="20"/>
          <w:lang w:eastAsia="ja-JP"/>
        </w:rPr>
        <w:t>Pitney Bowes aide</w:t>
      </w:r>
      <w:r w:rsidR="00BB7537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les d</w:t>
      </w:r>
      <w:r w:rsidR="00020560">
        <w:rPr>
          <w:rFonts w:asciiTheme="majorHAnsi" w:hAnsiTheme="majorHAnsi" w:cs="Calibri"/>
          <w:color w:val="18376A"/>
          <w:sz w:val="20"/>
          <w:szCs w:val="20"/>
          <w:lang w:eastAsia="ja-JP"/>
        </w:rPr>
        <w:t>étaillants, les marques et les e</w:t>
      </w:r>
      <w:r w:rsidR="00BB7537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-marchands à </w:t>
      </w: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vendre leurs produits auprès </w:t>
      </w:r>
      <w:r w:rsidR="00BB7537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de leurs clients dans p</w:t>
      </w: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lus de 220 pays et 74 monnaies</w:t>
      </w:r>
      <w:r w:rsidR="00020560">
        <w:rPr>
          <w:rFonts w:asciiTheme="majorHAnsi" w:hAnsiTheme="majorHAnsi" w:cs="Calibri"/>
          <w:color w:val="18376A"/>
          <w:sz w:val="20"/>
          <w:szCs w:val="20"/>
          <w:lang w:eastAsia="ja-JP"/>
        </w:rPr>
        <w:t>,</w:t>
      </w: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travaillant </w:t>
      </w:r>
      <w:r w:rsidR="00BB7537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av</w:t>
      </w: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ec</w:t>
      </w:r>
      <w:r w:rsidR="00020560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 plus de 250 clients mondiaux du e-</w:t>
      </w:r>
      <w:r w:rsidR="00BB7537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commerce, incluant les d</w:t>
      </w:r>
      <w:r w:rsidR="00020560">
        <w:rPr>
          <w:rFonts w:asciiTheme="majorHAnsi" w:hAnsiTheme="majorHAnsi" w:cs="Calibri"/>
          <w:color w:val="18376A"/>
          <w:sz w:val="20"/>
          <w:szCs w:val="20"/>
          <w:lang w:eastAsia="ja-JP"/>
        </w:rPr>
        <w:t>étaillants, les marques et les e</w:t>
      </w:r>
      <w:r w:rsidR="00BB7537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-marchands. </w:t>
      </w:r>
    </w:p>
    <w:p w14:paraId="684CFF3A" w14:textId="566F044A" w:rsidR="002F6B40" w:rsidRPr="00275F8F" w:rsidRDefault="00275F8F" w:rsidP="00275F8F">
      <w:pPr>
        <w:jc w:val="both"/>
        <w:rPr>
          <w:rFonts w:asciiTheme="majorHAnsi" w:hAnsiTheme="majorHAnsi" w:cs="Calibri"/>
          <w:color w:val="18376A"/>
          <w:sz w:val="20"/>
          <w:szCs w:val="20"/>
          <w:lang w:eastAsia="ja-JP"/>
        </w:rPr>
      </w:pP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• </w:t>
      </w:r>
      <w:r w:rsidR="00020560">
        <w:rPr>
          <w:rFonts w:asciiTheme="majorHAnsi" w:hAnsiTheme="majorHAnsi" w:cs="Calibri"/>
          <w:color w:val="18376A"/>
          <w:sz w:val="20"/>
          <w:szCs w:val="20"/>
          <w:lang w:eastAsia="ja-JP"/>
        </w:rPr>
        <w:t>l’</w:t>
      </w:r>
      <w:r w:rsidR="00BB7537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activité </w:t>
      </w:r>
      <w:r w:rsidR="00CB0905">
        <w:rPr>
          <w:rFonts w:asciiTheme="majorHAnsi" w:hAnsiTheme="majorHAnsi" w:cs="Calibri"/>
          <w:color w:val="18376A"/>
          <w:sz w:val="20"/>
          <w:szCs w:val="20"/>
          <w:lang w:eastAsia="ja-JP"/>
        </w:rPr>
        <w:t>e</w:t>
      </w:r>
      <w:r w:rsidR="00BB7537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-commerce </w:t>
      </w:r>
      <w:r w:rsidR="00CB0905">
        <w:rPr>
          <w:rFonts w:asciiTheme="majorHAnsi" w:hAnsiTheme="majorHAnsi" w:cs="Calibri"/>
          <w:color w:val="18376A"/>
          <w:sz w:val="20"/>
          <w:szCs w:val="20"/>
          <w:lang w:eastAsia="ja-JP"/>
        </w:rPr>
        <w:t xml:space="preserve">de Pitney Bowes </w:t>
      </w:r>
      <w:r w:rsidR="00BB7537"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supporte plus de 40 types de paiement.</w:t>
      </w:r>
    </w:p>
    <w:p w14:paraId="6CE838D9" w14:textId="77777777" w:rsidR="00F5151E" w:rsidRPr="00977A10" w:rsidRDefault="00F5151E" w:rsidP="00747A43">
      <w:pPr>
        <w:rPr>
          <w:sz w:val="10"/>
          <w:szCs w:val="10"/>
        </w:rPr>
      </w:pPr>
    </w:p>
    <w:p w14:paraId="01183C81" w14:textId="77777777" w:rsidR="00020560" w:rsidRDefault="00020560" w:rsidP="00F5151E">
      <w:pPr>
        <w:rPr>
          <w:rFonts w:asciiTheme="majorHAnsi" w:hAnsiTheme="majorHAnsi" w:cs="Calibri"/>
          <w:b/>
          <w:color w:val="18376A"/>
          <w:sz w:val="20"/>
          <w:szCs w:val="20"/>
          <w:lang w:eastAsia="ja-JP"/>
        </w:rPr>
      </w:pPr>
    </w:p>
    <w:p w14:paraId="7C0474AE" w14:textId="77777777" w:rsidR="00CB0905" w:rsidRDefault="00CB0905" w:rsidP="00F5151E">
      <w:pPr>
        <w:rPr>
          <w:rFonts w:asciiTheme="majorHAnsi" w:hAnsiTheme="majorHAnsi" w:cs="Calibri"/>
          <w:b/>
          <w:color w:val="18376A"/>
          <w:sz w:val="20"/>
          <w:szCs w:val="20"/>
          <w:lang w:eastAsia="ja-JP"/>
        </w:rPr>
      </w:pPr>
    </w:p>
    <w:p w14:paraId="23D9C270" w14:textId="77777777" w:rsidR="00F5151E" w:rsidRPr="00954D8C" w:rsidRDefault="00F5151E" w:rsidP="00F5151E">
      <w:pPr>
        <w:rPr>
          <w:rFonts w:asciiTheme="majorHAnsi" w:hAnsiTheme="majorHAnsi" w:cs="Calibri"/>
          <w:b/>
          <w:color w:val="18376A"/>
          <w:sz w:val="20"/>
          <w:szCs w:val="20"/>
          <w:lang w:eastAsia="ja-JP"/>
        </w:rPr>
      </w:pPr>
      <w:r w:rsidRPr="00954D8C">
        <w:rPr>
          <w:rFonts w:asciiTheme="majorHAnsi" w:hAnsiTheme="majorHAnsi" w:cs="Calibri"/>
          <w:b/>
          <w:color w:val="18376A"/>
          <w:sz w:val="20"/>
          <w:szCs w:val="20"/>
          <w:lang w:eastAsia="ja-JP"/>
        </w:rPr>
        <w:t>A propos de Pitney Bowes</w:t>
      </w:r>
    </w:p>
    <w:p w14:paraId="740501D9" w14:textId="77777777" w:rsidR="00F5151E" w:rsidRDefault="00F5151E" w:rsidP="00F5151E">
      <w:pPr>
        <w:jc w:val="both"/>
        <w:rPr>
          <w:rFonts w:ascii="Calibri" w:hAnsi="Calibri" w:cs="Calibri"/>
          <w:sz w:val="20"/>
          <w:szCs w:val="20"/>
          <w:lang w:eastAsia="ja-JP"/>
        </w:rPr>
      </w:pPr>
      <w:r w:rsidRPr="00275F8F">
        <w:rPr>
          <w:rFonts w:asciiTheme="majorHAnsi" w:hAnsiTheme="majorHAnsi" w:cs="Calibri"/>
          <w:color w:val="18376A"/>
          <w:sz w:val="20"/>
          <w:szCs w:val="20"/>
          <w:lang w:eastAsia="ja-JP"/>
        </w:rPr>
        <w:t>Pitney Bowes (NYSE: PBI) est une entreprise technologique mondiale qui prend en charge des milliards de transactions –physiques ou numériques- dans le monde du commerce connecté et sans frontière. Nos clients, à travers le monde, incluant 90 % des Fortune 500, font confiance aux produits, solutions et services de Pitney Bowes en matière de Gestion des Informations Client, Location Intelligence, Engagement Client, Expédition, Courrier et E-commerce international. Avec la solution innovante Pitney Bowes Commerce Cloud, les clients peuvent accéder à une large gamme des solutions, analyses, APIs de Pitney Bowes pour développer le commerce. Pour plus d'informations, visitez le site de Pitney Bowes, les Orfèvres du Commerce, à l'adresse suivante : </w:t>
      </w:r>
      <w:hyperlink r:id="rId10" w:history="1">
        <w:r w:rsidRPr="00954D8C">
          <w:rPr>
            <w:rFonts w:ascii="Calibri" w:hAnsi="Calibri" w:cs="Calibri"/>
            <w:color w:val="0B4CB4"/>
            <w:sz w:val="20"/>
            <w:szCs w:val="20"/>
            <w:u w:val="single" w:color="0B4CB4"/>
            <w:lang w:eastAsia="ja-JP"/>
          </w:rPr>
          <w:t>www.pitneybowes.com/fr</w:t>
        </w:r>
      </w:hyperlink>
      <w:r w:rsidRPr="00954D8C">
        <w:rPr>
          <w:rFonts w:ascii="Calibri" w:hAnsi="Calibri" w:cs="Calibri"/>
          <w:sz w:val="20"/>
          <w:szCs w:val="20"/>
          <w:lang w:eastAsia="ja-JP"/>
        </w:rPr>
        <w:t>.</w:t>
      </w:r>
    </w:p>
    <w:p w14:paraId="2780CA56" w14:textId="77777777" w:rsidR="00B902A9" w:rsidRDefault="00B902A9" w:rsidP="00F5151E">
      <w:pPr>
        <w:jc w:val="both"/>
        <w:rPr>
          <w:rFonts w:ascii="Calibri" w:hAnsi="Calibri" w:cs="Calibri"/>
          <w:sz w:val="20"/>
          <w:szCs w:val="20"/>
          <w:lang w:eastAsia="ja-JP"/>
        </w:rPr>
      </w:pPr>
    </w:p>
    <w:p w14:paraId="1298F2BF" w14:textId="3453983D" w:rsidR="00B902A9" w:rsidRPr="000663E8" w:rsidRDefault="00B902A9" w:rsidP="00B902A9">
      <w:pPr>
        <w:pStyle w:val="Default"/>
        <w:rPr>
          <w:rFonts w:asciiTheme="majorHAnsi" w:hAnsiTheme="majorHAnsi"/>
          <w:sz w:val="20"/>
          <w:szCs w:val="20"/>
        </w:rPr>
      </w:pPr>
      <w:r w:rsidRPr="000663E8">
        <w:rPr>
          <w:rFonts w:asciiTheme="majorHAnsi" w:hAnsiTheme="majorHAnsi"/>
          <w:b/>
          <w:bCs/>
          <w:sz w:val="20"/>
          <w:szCs w:val="20"/>
        </w:rPr>
        <w:t>Contact</w:t>
      </w:r>
      <w:r>
        <w:rPr>
          <w:rFonts w:asciiTheme="majorHAnsi" w:hAnsiTheme="majorHAnsi"/>
          <w:b/>
          <w:bCs/>
          <w:sz w:val="20"/>
          <w:szCs w:val="20"/>
        </w:rPr>
        <w:t>s</w:t>
      </w:r>
      <w:r w:rsidRPr="000663E8">
        <w:rPr>
          <w:rFonts w:asciiTheme="majorHAnsi" w:hAnsiTheme="majorHAnsi"/>
          <w:b/>
          <w:bCs/>
          <w:sz w:val="20"/>
          <w:szCs w:val="20"/>
        </w:rPr>
        <w:t xml:space="preserve"> presse Burson-Marsteller i&amp;e </w:t>
      </w:r>
    </w:p>
    <w:p w14:paraId="10A54808" w14:textId="391758B0" w:rsidR="00B902A9" w:rsidRPr="00233680" w:rsidRDefault="00B902A9" w:rsidP="00B902A9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Rivély Monampassi</w:t>
      </w:r>
      <w:r w:rsidRPr="0023368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/ Florence Devillers</w:t>
      </w:r>
    </w:p>
    <w:p w14:paraId="2FC908B0" w14:textId="4FB22D21" w:rsidR="00B902A9" w:rsidRPr="000663E8" w:rsidRDefault="00B902A9" w:rsidP="00B902A9">
      <w:pPr>
        <w:pStyle w:val="Default"/>
        <w:rPr>
          <w:rFonts w:asciiTheme="majorHAnsi" w:hAnsiTheme="majorHAnsi"/>
          <w:sz w:val="20"/>
          <w:szCs w:val="20"/>
        </w:rPr>
      </w:pPr>
      <w:r w:rsidRPr="000663E8">
        <w:rPr>
          <w:rFonts w:asciiTheme="majorHAnsi" w:hAnsiTheme="majorHAnsi"/>
          <w:sz w:val="20"/>
          <w:szCs w:val="20"/>
        </w:rPr>
        <w:t>01 56 03 1</w:t>
      </w:r>
      <w:r>
        <w:rPr>
          <w:rFonts w:asciiTheme="majorHAnsi" w:hAnsiTheme="majorHAnsi"/>
          <w:sz w:val="20"/>
          <w:szCs w:val="20"/>
        </w:rPr>
        <w:t>2</w:t>
      </w:r>
      <w:r w:rsidRPr="000663E8">
        <w:rPr>
          <w:rFonts w:asciiTheme="majorHAnsi" w:hAnsiTheme="majorHAnsi"/>
          <w:sz w:val="20"/>
          <w:szCs w:val="20"/>
        </w:rPr>
        <w:t xml:space="preserve"> 1</w:t>
      </w:r>
      <w:r>
        <w:rPr>
          <w:rFonts w:asciiTheme="majorHAnsi" w:hAnsiTheme="majorHAnsi"/>
          <w:sz w:val="20"/>
          <w:szCs w:val="20"/>
        </w:rPr>
        <w:t>3</w:t>
      </w:r>
      <w:r w:rsidRPr="000663E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/ 01 56 03 13 16</w:t>
      </w:r>
    </w:p>
    <w:p w14:paraId="4E5F211A" w14:textId="09B12FF0" w:rsidR="00B902A9" w:rsidRDefault="006D1254" w:rsidP="00B902A9">
      <w:pPr>
        <w:pStyle w:val="Default"/>
        <w:rPr>
          <w:rFonts w:asciiTheme="majorHAnsi" w:hAnsiTheme="majorHAnsi"/>
          <w:sz w:val="20"/>
          <w:szCs w:val="20"/>
        </w:rPr>
      </w:pPr>
      <w:hyperlink r:id="rId11" w:history="1">
        <w:r w:rsidR="00B902A9" w:rsidRPr="00AB24EF">
          <w:rPr>
            <w:rStyle w:val="Lienhypertexte"/>
            <w:rFonts w:asciiTheme="majorHAnsi" w:hAnsiTheme="majorHAnsi"/>
            <w:sz w:val="20"/>
            <w:szCs w:val="20"/>
          </w:rPr>
          <w:t>Rively.monampassi@bm.com</w:t>
        </w:r>
      </w:hyperlink>
      <w:r w:rsidR="00B902A9">
        <w:rPr>
          <w:rFonts w:asciiTheme="majorHAnsi" w:hAnsiTheme="majorHAnsi"/>
          <w:sz w:val="20"/>
          <w:szCs w:val="20"/>
        </w:rPr>
        <w:t xml:space="preserve"> </w:t>
      </w:r>
      <w:r w:rsidR="00B902A9" w:rsidRPr="000663E8">
        <w:rPr>
          <w:rFonts w:asciiTheme="majorHAnsi" w:hAnsiTheme="majorHAnsi"/>
          <w:sz w:val="20"/>
          <w:szCs w:val="20"/>
        </w:rPr>
        <w:t xml:space="preserve"> </w:t>
      </w:r>
      <w:r w:rsidR="00B902A9">
        <w:rPr>
          <w:rFonts w:asciiTheme="majorHAnsi" w:hAnsiTheme="majorHAnsi"/>
          <w:sz w:val="20"/>
          <w:szCs w:val="20"/>
        </w:rPr>
        <w:t xml:space="preserve">/ </w:t>
      </w:r>
      <w:hyperlink r:id="rId12" w:history="1">
        <w:r w:rsidR="00B902A9" w:rsidRPr="00F157A2">
          <w:rPr>
            <w:rStyle w:val="Lienhypertexte"/>
            <w:rFonts w:asciiTheme="majorHAnsi" w:hAnsiTheme="majorHAnsi"/>
            <w:sz w:val="20"/>
            <w:szCs w:val="20"/>
          </w:rPr>
          <w:t>Florence.devillers@bm.com</w:t>
        </w:r>
      </w:hyperlink>
    </w:p>
    <w:p w14:paraId="3285C221" w14:textId="77777777" w:rsidR="00B902A9" w:rsidRPr="000663E8" w:rsidRDefault="00B902A9" w:rsidP="00B902A9">
      <w:pPr>
        <w:pStyle w:val="Default"/>
        <w:rPr>
          <w:rFonts w:asciiTheme="majorHAnsi" w:hAnsiTheme="majorHAnsi"/>
          <w:sz w:val="20"/>
          <w:szCs w:val="20"/>
        </w:rPr>
      </w:pPr>
    </w:p>
    <w:p w14:paraId="5075441A" w14:textId="77777777" w:rsidR="00B902A9" w:rsidRPr="000663E8" w:rsidRDefault="00B902A9" w:rsidP="00B902A9">
      <w:pPr>
        <w:pStyle w:val="Default"/>
        <w:rPr>
          <w:rFonts w:asciiTheme="majorHAnsi" w:hAnsiTheme="majorHAnsi"/>
          <w:sz w:val="20"/>
          <w:szCs w:val="20"/>
        </w:rPr>
      </w:pPr>
      <w:r w:rsidRPr="000663E8">
        <w:rPr>
          <w:rFonts w:asciiTheme="majorHAnsi" w:hAnsiTheme="majorHAnsi"/>
          <w:b/>
          <w:bCs/>
          <w:sz w:val="20"/>
          <w:szCs w:val="20"/>
        </w:rPr>
        <w:t xml:space="preserve">Contact Pitney Bowes </w:t>
      </w:r>
    </w:p>
    <w:p w14:paraId="3DC28AAA" w14:textId="77777777" w:rsidR="00B902A9" w:rsidRPr="00233680" w:rsidRDefault="00B902A9" w:rsidP="00B902A9">
      <w:pPr>
        <w:pStyle w:val="Default"/>
        <w:rPr>
          <w:rFonts w:asciiTheme="majorHAnsi" w:hAnsiTheme="majorHAnsi"/>
          <w:sz w:val="20"/>
          <w:szCs w:val="20"/>
        </w:rPr>
      </w:pPr>
      <w:r w:rsidRPr="00233680">
        <w:rPr>
          <w:rFonts w:asciiTheme="majorHAnsi" w:hAnsiTheme="majorHAnsi"/>
          <w:sz w:val="20"/>
          <w:szCs w:val="20"/>
        </w:rPr>
        <w:t xml:space="preserve">Anne-Laure Le Lièvre </w:t>
      </w:r>
    </w:p>
    <w:p w14:paraId="6B4E60D7" w14:textId="77777777" w:rsidR="00B902A9" w:rsidRPr="00631B93" w:rsidRDefault="00B902A9" w:rsidP="00B902A9">
      <w:pPr>
        <w:pStyle w:val="Default"/>
        <w:rPr>
          <w:rFonts w:asciiTheme="majorHAnsi" w:hAnsiTheme="majorHAnsi"/>
          <w:sz w:val="20"/>
          <w:szCs w:val="20"/>
          <w:lang w:val="fr-FR"/>
        </w:rPr>
      </w:pPr>
      <w:r w:rsidRPr="00631B93">
        <w:rPr>
          <w:rFonts w:asciiTheme="majorHAnsi" w:hAnsiTheme="majorHAnsi"/>
          <w:sz w:val="20"/>
          <w:szCs w:val="20"/>
          <w:lang w:val="fr-FR"/>
        </w:rPr>
        <w:t xml:space="preserve">Communications Manager, Europe M +33 (0)624 781 690 </w:t>
      </w:r>
    </w:p>
    <w:p w14:paraId="38E60414" w14:textId="77777777" w:rsidR="00B902A9" w:rsidRPr="00B902A9" w:rsidRDefault="00B902A9" w:rsidP="00B902A9">
      <w:pPr>
        <w:rPr>
          <w:rFonts w:cs="Arial"/>
          <w:sz w:val="20"/>
          <w:szCs w:val="20"/>
        </w:rPr>
      </w:pPr>
      <w:hyperlink r:id="rId13" w:history="1">
        <w:r w:rsidRPr="00B902A9">
          <w:rPr>
            <w:rStyle w:val="Lienhypertexte"/>
            <w:rFonts w:asciiTheme="majorHAnsi" w:hAnsiTheme="majorHAnsi"/>
            <w:sz w:val="20"/>
            <w:szCs w:val="20"/>
          </w:rPr>
          <w:t>annelaure.lelievre@pb.com</w:t>
        </w:r>
      </w:hyperlink>
      <w:r w:rsidRPr="00B902A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14:paraId="12DF10EC" w14:textId="77777777" w:rsidR="00B902A9" w:rsidRPr="00954D8C" w:rsidRDefault="00B902A9" w:rsidP="00F5151E">
      <w:pPr>
        <w:jc w:val="both"/>
        <w:rPr>
          <w:sz w:val="20"/>
          <w:szCs w:val="20"/>
        </w:rPr>
      </w:pPr>
    </w:p>
    <w:sectPr w:rsidR="00B902A9" w:rsidRPr="00954D8C" w:rsidSect="001B7233">
      <w:pgSz w:w="11900" w:h="16840"/>
      <w:pgMar w:top="1276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F292A" w14:textId="77777777" w:rsidR="006D1254" w:rsidRDefault="006D1254" w:rsidP="00823BF3">
      <w:r>
        <w:separator/>
      </w:r>
    </w:p>
  </w:endnote>
  <w:endnote w:type="continuationSeparator" w:id="0">
    <w:p w14:paraId="40695E35" w14:textId="77777777" w:rsidR="006D1254" w:rsidRDefault="006D1254" w:rsidP="0082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76C8D" w14:textId="77777777" w:rsidR="006D1254" w:rsidRDefault="006D1254" w:rsidP="00823BF3">
      <w:r>
        <w:separator/>
      </w:r>
    </w:p>
  </w:footnote>
  <w:footnote w:type="continuationSeparator" w:id="0">
    <w:p w14:paraId="03A1F776" w14:textId="77777777" w:rsidR="006D1254" w:rsidRDefault="006D1254" w:rsidP="0082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5236"/>
    <w:multiLevelType w:val="hybridMultilevel"/>
    <w:tmpl w:val="6030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C0948"/>
    <w:multiLevelType w:val="hybridMultilevel"/>
    <w:tmpl w:val="5B6E19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FE7C5B"/>
    <w:multiLevelType w:val="hybridMultilevel"/>
    <w:tmpl w:val="18AE1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260D"/>
    <w:multiLevelType w:val="hybridMultilevel"/>
    <w:tmpl w:val="F4807A6C"/>
    <w:lvl w:ilvl="0" w:tplc="040C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43"/>
    <w:rsid w:val="00020560"/>
    <w:rsid w:val="0015626E"/>
    <w:rsid w:val="001B7233"/>
    <w:rsid w:val="00275F8F"/>
    <w:rsid w:val="002F3F01"/>
    <w:rsid w:val="002F6B40"/>
    <w:rsid w:val="00393297"/>
    <w:rsid w:val="004A2954"/>
    <w:rsid w:val="00631B93"/>
    <w:rsid w:val="006D1254"/>
    <w:rsid w:val="006F706A"/>
    <w:rsid w:val="0072432D"/>
    <w:rsid w:val="00747A43"/>
    <w:rsid w:val="007868FE"/>
    <w:rsid w:val="007A5AE2"/>
    <w:rsid w:val="007F6467"/>
    <w:rsid w:val="00823BF3"/>
    <w:rsid w:val="0083081E"/>
    <w:rsid w:val="00954D8C"/>
    <w:rsid w:val="009768EA"/>
    <w:rsid w:val="00977A10"/>
    <w:rsid w:val="00B902A9"/>
    <w:rsid w:val="00BB7537"/>
    <w:rsid w:val="00C30596"/>
    <w:rsid w:val="00CB0905"/>
    <w:rsid w:val="00D6338C"/>
    <w:rsid w:val="00F16393"/>
    <w:rsid w:val="00F5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DDDD96"/>
  <w14:defaultImageDpi w14:val="300"/>
  <w15:docId w15:val="{56950E34-BF73-437B-8F3B-078BDBE5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A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AE2"/>
    <w:rPr>
      <w:rFonts w:ascii="Lucida Grande" w:hAnsi="Lucida Grande" w:cs="Lucida Grande"/>
      <w:sz w:val="18"/>
      <w:szCs w:val="18"/>
      <w:lang w:eastAsia="fr-FR"/>
    </w:rPr>
  </w:style>
  <w:style w:type="paragraph" w:customStyle="1" w:styleId="DocumentName">
    <w:name w:val="Document Name"/>
    <w:basedOn w:val="Normal"/>
    <w:qFormat/>
    <w:rsid w:val="002F3F01"/>
    <w:pPr>
      <w:spacing w:line="480" w:lineRule="atLeast"/>
    </w:pPr>
    <w:rPr>
      <w:rFonts w:ascii="Arial" w:eastAsiaTheme="minorHAnsi" w:hAnsi="Arial" w:cstheme="minorBidi"/>
      <w:color w:val="4F81BD" w:themeColor="accent1"/>
      <w:sz w:val="48"/>
      <w:szCs w:val="48"/>
      <w:lang w:bidi="fr-FR"/>
    </w:rPr>
  </w:style>
  <w:style w:type="paragraph" w:styleId="Paragraphedeliste">
    <w:name w:val="List Paragraph"/>
    <w:basedOn w:val="Normal"/>
    <w:uiPriority w:val="34"/>
    <w:qFormat/>
    <w:rsid w:val="00F515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75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23B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BF3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3B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BF3"/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902A9"/>
    <w:rPr>
      <w:color w:val="0000FF" w:themeColor="hyperlink"/>
      <w:u w:val="single"/>
    </w:rPr>
  </w:style>
  <w:style w:type="paragraph" w:customStyle="1" w:styleId="Default">
    <w:name w:val="Default"/>
    <w:basedOn w:val="Normal"/>
    <w:rsid w:val="00B902A9"/>
    <w:pPr>
      <w:autoSpaceDE w:val="0"/>
      <w:autoSpaceDN w:val="0"/>
    </w:pPr>
    <w:rPr>
      <w:rFonts w:ascii="Arial" w:eastAsiaTheme="minorHAnsi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neybowes.com/fr/societe/nos-activites.html" TargetMode="External"/><Relationship Id="rId13" Type="http://schemas.openxmlformats.org/officeDocument/2006/relationships/hyperlink" Target="mailto:annelaure.lelievre@p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lorence.devillers@b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vely.monampassi@b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ldefense.proofpoint.com/v2/url?u=http-3A__www.pitneybowes.com_fr&amp;d=DQMFAw&amp;c=qwStF0e4-YFyvjCeML3ehA&amp;r=Ka2bXSJNzACBmF5FnGNXvfpwWFb0BMnlk0w7u9Ixd20&amp;m=IKyanHQ9os02OrN3mIgiYWebpWFdLeOPD1swqDzdNn8&amp;s=kEcKSLf21g2IZlWepVhLNZ-qcEETFJ0PNHeL6AUl4fQ&amp;e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Devillers</dc:creator>
  <cp:keywords/>
  <dc:description/>
  <cp:lastModifiedBy>Anne Laure Le Lievre</cp:lastModifiedBy>
  <cp:revision>2</cp:revision>
  <cp:lastPrinted>2016-09-12T08:06:00Z</cp:lastPrinted>
  <dcterms:created xsi:type="dcterms:W3CDTF">2016-09-15T12:05:00Z</dcterms:created>
  <dcterms:modified xsi:type="dcterms:W3CDTF">2016-09-15T12:05:00Z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601408423</vt:i4>
  </property>
  <property fmtid="{D5CDD505-2E9C-101B-9397-08002B2CF9AE}" pid="3" name="_NewReviewCycle">
    <vt:lpwstr/>
  </property>
  <property fmtid="{D5CDD505-2E9C-101B-9397-08002B2CF9AE}" pid="4" name="_EmailSubject">
    <vt:lpwstr>Salons Solutions (erp/e-achats/CRM-BI/Demat...)-  Dossier de presse - Pitney Bowes</vt:lpwstr>
  </property>
  <property fmtid="{D5CDD505-2E9C-101B-9397-08002B2CF9AE}" pid="5" name="_AuthorEmail">
    <vt:lpwstr>annelaure.lelievre@pb.com</vt:lpwstr>
  </property>
  <property fmtid="{D5CDD505-2E9C-101B-9397-08002B2CF9AE}" pid="6" name="_AuthorEmailDisplayName">
    <vt:lpwstr>Anne Laure Le Lievre</vt:lpwstr>
  </property>
</Properties>
</file>